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45" w:rsidRPr="00956745" w:rsidRDefault="00956745" w:rsidP="00956745">
      <w:pPr>
        <w:spacing w:after="120" w:line="240" w:lineRule="auto"/>
        <w:outlineLvl w:val="0"/>
        <w:rPr>
          <w:rFonts w:ascii="Titillium" w:eastAsia="Times New Roman" w:hAnsi="Titillium" w:cs="Times New Roman"/>
          <w:b/>
          <w:bCs/>
          <w:color w:val="000000"/>
          <w:kern w:val="36"/>
          <w:sz w:val="20"/>
          <w:szCs w:val="20"/>
          <w:lang w:eastAsia="pl-PL"/>
        </w:rPr>
      </w:pPr>
      <w:r w:rsidRPr="00956745">
        <w:rPr>
          <w:rFonts w:ascii="Titillium" w:eastAsia="Times New Roman" w:hAnsi="Titillium" w:cs="Times New Roman"/>
          <w:b/>
          <w:bCs/>
          <w:color w:val="000000"/>
          <w:kern w:val="36"/>
          <w:sz w:val="20"/>
          <w:szCs w:val="20"/>
          <w:lang w:eastAsia="pl-PL"/>
        </w:rPr>
        <w:t>Zimowa opieka nad bocianimi gniazdami</w:t>
      </w:r>
    </w:p>
    <w:p w:rsidR="00956745" w:rsidRPr="00956745" w:rsidRDefault="00956745" w:rsidP="00956745">
      <w:pPr>
        <w:spacing w:after="120" w:line="240" w:lineRule="auto"/>
        <w:rPr>
          <w:rFonts w:ascii="Titillium" w:eastAsia="Times New Roman" w:hAnsi="Titillium" w:cs="Times New Roman"/>
          <w:b/>
          <w:color w:val="000000"/>
          <w:sz w:val="20"/>
          <w:szCs w:val="20"/>
          <w:lang w:eastAsia="pl-PL"/>
        </w:rPr>
      </w:pPr>
      <w:r w:rsidRPr="00956745">
        <w:rPr>
          <w:rFonts w:ascii="Titillium" w:eastAsia="Times New Roman" w:hAnsi="Titillium" w:cs="Times New Roman"/>
          <w:b/>
          <w:color w:val="000000"/>
          <w:sz w:val="20"/>
          <w:szCs w:val="20"/>
          <w:lang w:eastAsia="pl-PL"/>
        </w:rPr>
        <w:t>Co roku w sezonie jesienno-zimowym, gdy bocianów nie ma w Polsce energetycy z TAURON Dystrybucja prowadzą prace pielęgnacyjne i montują platformy dla bocianów</w:t>
      </w:r>
      <w:r w:rsidRPr="00956745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b/>
          <w:color w:val="000000"/>
          <w:sz w:val="20"/>
          <w:szCs w:val="20"/>
          <w:lang w:eastAsia="pl-PL"/>
        </w:rPr>
        <w:t xml:space="preserve"> w oko</w:t>
      </w:r>
      <w:r w:rsidRPr="00956745">
        <w:rPr>
          <w:rFonts w:ascii="Titillium" w:eastAsia="Times New Roman" w:hAnsi="Titillium" w:cs="Titillium"/>
          <w:b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b/>
          <w:color w:val="000000"/>
          <w:sz w:val="20"/>
          <w:szCs w:val="20"/>
          <w:lang w:eastAsia="pl-PL"/>
        </w:rPr>
        <w:t>o 200 miejscach. Nowopowsta</w:t>
      </w:r>
      <w:r w:rsidRPr="00956745">
        <w:rPr>
          <w:rFonts w:ascii="Titillium" w:eastAsia="Times New Roman" w:hAnsi="Titillium" w:cs="Titillium"/>
          <w:b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b/>
          <w:color w:val="000000"/>
          <w:sz w:val="20"/>
          <w:szCs w:val="20"/>
          <w:lang w:eastAsia="pl-PL"/>
        </w:rPr>
        <w:t>e gniazda wynoszone s</w:t>
      </w:r>
      <w:r w:rsidRPr="00956745">
        <w:rPr>
          <w:rFonts w:ascii="Titillium" w:eastAsia="Times New Roman" w:hAnsi="Titillium" w:cs="Titillium"/>
          <w:b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b/>
          <w:color w:val="000000"/>
          <w:sz w:val="20"/>
          <w:szCs w:val="20"/>
          <w:lang w:eastAsia="pl-PL"/>
        </w:rPr>
        <w:t xml:space="preserve"> powy</w:t>
      </w:r>
      <w:r w:rsidRPr="00956745">
        <w:rPr>
          <w:rFonts w:ascii="Titillium" w:eastAsia="Times New Roman" w:hAnsi="Titillium" w:cs="Titillium"/>
          <w:b/>
          <w:color w:val="000000"/>
          <w:sz w:val="20"/>
          <w:szCs w:val="20"/>
          <w:lang w:eastAsia="pl-PL"/>
        </w:rPr>
        <w:t>ż</w:t>
      </w:r>
      <w:r w:rsidRPr="00956745">
        <w:rPr>
          <w:rFonts w:ascii="Titillium" w:eastAsia="Times New Roman" w:hAnsi="Titillium" w:cs="Times New Roman"/>
          <w:b/>
          <w:color w:val="000000"/>
          <w:sz w:val="20"/>
          <w:szCs w:val="20"/>
          <w:lang w:eastAsia="pl-PL"/>
        </w:rPr>
        <w:t>ej przewod</w:t>
      </w:r>
      <w:r w:rsidRPr="00956745">
        <w:rPr>
          <w:rFonts w:ascii="Titillium" w:eastAsia="Times New Roman" w:hAnsi="Titillium" w:cs="Titillium"/>
          <w:b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b/>
          <w:color w:val="000000"/>
          <w:sz w:val="20"/>
          <w:szCs w:val="20"/>
          <w:lang w:eastAsia="pl-PL"/>
        </w:rPr>
        <w:t>w, kt</w:t>
      </w:r>
      <w:r w:rsidRPr="00956745">
        <w:rPr>
          <w:rFonts w:ascii="Titillium" w:eastAsia="Times New Roman" w:hAnsi="Titillium" w:cs="Titillium"/>
          <w:b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b/>
          <w:color w:val="000000"/>
          <w:sz w:val="20"/>
          <w:szCs w:val="20"/>
          <w:lang w:eastAsia="pl-PL"/>
        </w:rPr>
        <w:t>rymi p</w:t>
      </w:r>
      <w:r w:rsidRPr="00956745">
        <w:rPr>
          <w:rFonts w:ascii="Titillium" w:eastAsia="Times New Roman" w:hAnsi="Titillium" w:cs="Titillium"/>
          <w:b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b/>
          <w:color w:val="000000"/>
          <w:sz w:val="20"/>
          <w:szCs w:val="20"/>
          <w:lang w:eastAsia="pl-PL"/>
        </w:rPr>
        <w:t>ynie pr</w:t>
      </w:r>
      <w:r w:rsidRPr="00956745">
        <w:rPr>
          <w:rFonts w:ascii="Titillium" w:eastAsia="Times New Roman" w:hAnsi="Titillium" w:cs="Titillium"/>
          <w:b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b/>
          <w:color w:val="000000"/>
          <w:sz w:val="20"/>
          <w:szCs w:val="20"/>
          <w:lang w:eastAsia="pl-PL"/>
        </w:rPr>
        <w:t>d. Prace są konieczne, ponieważ gniazda zlokalizowane bezpośrednio na słupie energetycznym i z dużą ilością materiału, stanowią zagrożenie dla samych bocianów, bezawaryjnej pracy sieci energetycznej i otoczenia. Niekiedy energetycy muszą interweniować w związku z uszkodzonymi gniazdami przez wiatr, burze i wichury.</w:t>
      </w:r>
      <w:r w:rsidRPr="00956745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 </w:t>
      </w:r>
    </w:p>
    <w:p w:rsidR="00956745" w:rsidRDefault="00956745" w:rsidP="00956745">
      <w:pPr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TAURON Dystrybucja w ramach prowadzonej od wielu lat akcji „Bociany TAURONA” realizuje szereg działań na rzecz bocianów, które wybrały sieć dystrybucyjną spółki, jako miejsce budowy gniazda. Zakres i rodzaj prac jest związany z cyklem życia ptaków i przepisami prawa, ponieważ bociany objęte są ścisłą ochroną. Dlatego do gniazd można się zbliżać, kiedy ptaków w nich nie ma. Od połowy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pa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ź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dziernika do ko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ń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ca lutego energetycy oczyszczaj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, uszczuplaj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i odbudowują gniazda oraz instalują metalowe platformy zabezpieczające gniazda na kolejne sezony.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:rsidR="00956745" w:rsidRDefault="00956745" w:rsidP="00956745">
      <w:pPr>
        <w:spacing w:after="120" w:line="240" w:lineRule="auto"/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</w:pP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– Bociany coraz chętniej zakładają gniazda na słupach energetycznych, ponieważ czują się na nich bezpieczne. W praktyce nie jest to miejsce idealne dla ptaków, ponieważ przebywają w bliskim sąsiedztwie przewodów pod napięciem i mogą ulec porażeniu. Poza tym duże i ciężkie konstrukcje</w:t>
      </w:r>
      <w:r w:rsidRPr="00956745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 gniazd mog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 niebezpiecznie obci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ąż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a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ć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 s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upy i uszkadza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ć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 przewody. Dlatego przegl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damy gniazda i wybieramy te, kt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re wymagaj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 interwencji. Reagujemy też na otrzymane zgłoszenia od mieszkańców</w:t>
      </w:r>
      <w:r w:rsidRPr="00956745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 i sympatyk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w ptak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w. Wszystko po to, aby zminimalizowa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ć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 zagro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ż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enia dla</w:t>
      </w:r>
      <w:r w:rsidRPr="00956745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 bocian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w oraz zapewni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ć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 bezawaryjn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 prac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ę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 linii energetycznych i niezak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łó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cone dostawy pr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du </w:t>
      </w:r>
      <w:r w:rsidRPr="00956745">
        <w:rPr>
          <w:rFonts w:ascii="Titillium" w:eastAsia="Times New Roman" w:hAnsi="Titillium" w:cs="Titillium"/>
          <w:i/>
          <w:iCs/>
          <w:color w:val="000000"/>
          <w:sz w:val="20"/>
          <w:szCs w:val="20"/>
          <w:lang w:eastAsia="pl-PL"/>
        </w:rPr>
        <w:t>–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m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wi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b/>
          <w:bCs/>
          <w:color w:val="000000"/>
          <w:sz w:val="20"/>
          <w:szCs w:val="20"/>
          <w:lang w:eastAsia="pl-PL"/>
        </w:rPr>
        <w:t>Ewa Groń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, rzecz</w:t>
      </w:r>
      <w:r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nik prasowa TAURON Dystrybucja.</w:t>
      </w:r>
    </w:p>
    <w:p w:rsidR="00956745" w:rsidRDefault="00956745" w:rsidP="00956745">
      <w:pPr>
        <w:spacing w:after="120" w:line="240" w:lineRule="auto"/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</w:pP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Zdarza się, że gniazda są uszkadzane podczas burz i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silnych wiatr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w. Tak by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o w kilku miejscach podczas ostatnich bardzo intensywnych wichur, kt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re przesz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y nad Polsk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. Je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ż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eli gniazdo spad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o ze s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upa, albo je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ż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eli zostało przez wiatr lub niesione przedmioty uszkodzone, można to zgłosić do spółki.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Miejsca wymagaj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ce interwencji energetyk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w mo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ż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na zg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asza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ć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na specjalnego maila: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hyperlink r:id="rId5" w:history="1">
        <w:r w:rsidRPr="00956745">
          <w:rPr>
            <w:rFonts w:ascii="Titillium" w:eastAsia="Times New Roman" w:hAnsi="Titillium" w:cs="Times New Roman"/>
            <w:color w:val="E2007A"/>
            <w:sz w:val="20"/>
            <w:szCs w:val="20"/>
            <w:u w:val="single"/>
            <w:lang w:eastAsia="pl-PL"/>
          </w:rPr>
          <w:t>bocian@tauron-dystrybucja.pl</w:t>
        </w:r>
      </w:hyperlink>
      <w:r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.</w:t>
      </w:r>
    </w:p>
    <w:p w:rsidR="00956745" w:rsidRDefault="00956745" w:rsidP="00956745">
      <w:pPr>
        <w:spacing w:after="120" w:line="240" w:lineRule="auto"/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</w:pP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Bociany w ciągu okresu lęgowego nanoszą na gniazdo materiał budulcowy, to jest gałęzie, darń, siano, słomę a nawet śmieci. W efekcie, w jednym roku może przybyć nawet 30-centymetrowa warstwa materiału, ważąca dodatkowych kilkadziesiąt kilogramów. W ten sposób w ciągu kilku lat poszycie gniazda może stracić stabilność i nadmiernie dociążyć słup lub platformę, grożąc ich uszkodzeniem.</w:t>
      </w:r>
    </w:p>
    <w:p w:rsidR="00956745" w:rsidRDefault="00956745" w:rsidP="00956745">
      <w:pPr>
        <w:spacing w:after="120" w:line="240" w:lineRule="auto"/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</w:pP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– Firmy energetyczne, w tym TAURON Dystrybucja odgrywają coraz większą rolę w ochronie populacji bocianów białych w Polsce. Bezpieczny dostęp do gniazd zlokalizowanych na słupach mają tylko energetycy. Posiadają uprawnienia do pracy na sieci energetycznej, wiedzę, doświadczenie, oraz specjalistyczny sprzęt do pracy na wysokości i przy urządzeniach pod napięciem. To ważne, że dbając o swoje urządzenia, pomagają ptakom i chro</w:t>
      </w:r>
      <w:r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 xml:space="preserve">nią w ten sposób ich populację – 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podkre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ś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la dr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b/>
          <w:bCs/>
          <w:color w:val="000000"/>
          <w:sz w:val="20"/>
          <w:szCs w:val="20"/>
          <w:lang w:eastAsia="pl-PL"/>
        </w:rPr>
        <w:t>Kazimierz Walasz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, prezes </w:t>
      </w:r>
      <w:hyperlink r:id="rId6" w:history="1">
        <w:r w:rsidRPr="00956745">
          <w:rPr>
            <w:rStyle w:val="Hipercze"/>
            <w:rFonts w:ascii="Titillium" w:eastAsia="Times New Roman" w:hAnsi="Titillium" w:cs="Times New Roman"/>
            <w:sz w:val="20"/>
            <w:szCs w:val="20"/>
            <w:lang w:eastAsia="pl-PL"/>
          </w:rPr>
          <w:t>Małopolskiego Towarzystwa Ornitologicznego</w:t>
        </w:r>
      </w:hyperlink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.</w:t>
      </w:r>
    </w:p>
    <w:p w:rsidR="00956745" w:rsidRDefault="00956745" w:rsidP="00956745">
      <w:pPr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W uzasadnionych wypadkach, tj. po obserwacji i zaopiniowaniu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przez ornitolog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w, gniazda mog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by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ć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usuwane. Zwykle są to zaczątki gniazd wykonywane przez niedojrzałe płciowo ptaki, które szlifują swoje umiejętności budowlane na przyszłość. Część takich próbnych gniazd powstaje w wyniku silnego instynktu, który powoduje potrzebę budowy gniazda, a który nie mija nawet, gdy bocian zbuduje swoje prawdziwe domostwo. Mimo, że wszystkie te konstrukcje są tymczasowe, to jednak nagromadzona ilość materiału i fakt pojawiania się na nich ptaków regularnie, wywołują mylne wrażenie, że to próba stworzenia stałego domu dla ptasiej rodziny.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:rsidR="00956745" w:rsidRDefault="00956745" w:rsidP="00956745">
      <w:pPr>
        <w:spacing w:after="120" w:line="240" w:lineRule="auto"/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</w:pPr>
      <w:r w:rsidRPr="00956745">
        <w:rPr>
          <w:rFonts w:ascii="Titillium" w:eastAsia="Times New Roman" w:hAnsi="Titillium" w:cs="Times New Roman"/>
          <w:i/>
          <w:iCs/>
          <w:color w:val="000000"/>
          <w:sz w:val="20"/>
          <w:szCs w:val="20"/>
          <w:lang w:eastAsia="pl-PL"/>
        </w:rPr>
        <w:t>– Mamy wiele zgłoszeń o potrzebie montażu platform. Spora część z nich, po konsultacji ze specjalistami, okazuje się nieuzasadniona. Dlatego ściśle współpracujemy z ornitologami, którzy ostatecznie decydują o naszych działaniach przy takiej tymczasowej budowli. Zwykle instalujemy platformę pod gniazdo tam, gdzie ptaki doczekały się już potomstwa i jeśli mamy pewność, że słup energetyczny wytrzyma ciężar gniazda –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t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umaczy E</w:t>
      </w:r>
      <w:r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wa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Gro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ń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.</w:t>
      </w:r>
    </w:p>
    <w:p w:rsidR="00162464" w:rsidRDefault="00956745" w:rsidP="00956745">
      <w:pPr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Zdarza si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ę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te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ż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, 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ż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e zg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aszaj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si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ę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do firmy osoby, kt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re chciałyby, aby na słupie w pobliżu ich posesji lub domu osiedliły się ptaki. Jeśli jednak, to nie ptaki wybrały konkretne miejsce na swoje gniazdowanie, to TAURON 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lastRenderedPageBreak/>
        <w:t>nie ingeruje w takie miejsca ani tym bardziej nie zachęca ptaków do budowy gniazd na infrastrukturze energetycznej.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Dostawcy</w:t>
      </w:r>
      <w:r w:rsidRPr="0095674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pr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du chodzi g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łó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wnie o bezpieczn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i bezawaryjn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prac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ę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urz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ą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dze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ń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. Gniazdo na s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ł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upie zawsze wymusza prowadzenie dodatkowych zabieg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w eksploatacyjnych a sama obecno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ść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ptak</w:t>
      </w:r>
      <w:r w:rsidRPr="00956745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ó</w:t>
      </w:r>
      <w:r w:rsidRPr="00956745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w i </w:t>
      </w:r>
      <w:r w:rsidRPr="00B32CBF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konstrukcja gniazda mog</w:t>
      </w:r>
      <w:r w:rsidRPr="00B32CBF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ą</w:t>
      </w:r>
      <w:r w:rsidRPr="00B32CBF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wp</w:t>
      </w:r>
      <w:r w:rsidRPr="00B32CBF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ł</w:t>
      </w:r>
      <w:r w:rsidRPr="00B32CBF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ywa</w:t>
      </w:r>
      <w:r w:rsidRPr="00B32CBF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ć</w:t>
      </w:r>
      <w:r w:rsidRPr="00B32CBF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 xml:space="preserve"> na zwi</w:t>
      </w:r>
      <w:r w:rsidRPr="00B32CBF">
        <w:rPr>
          <w:rFonts w:ascii="Titillium" w:eastAsia="Times New Roman" w:hAnsi="Titillium" w:cs="Titillium"/>
          <w:color w:val="000000"/>
          <w:sz w:val="20"/>
          <w:szCs w:val="20"/>
          <w:lang w:eastAsia="pl-PL"/>
        </w:rPr>
        <w:t>ę</w:t>
      </w:r>
      <w:r w:rsidRPr="00B32CBF">
        <w:rPr>
          <w:rFonts w:ascii="Titillium" w:eastAsia="Times New Roman" w:hAnsi="Titillium" w:cs="Times New Roman"/>
          <w:color w:val="000000"/>
          <w:sz w:val="20"/>
          <w:szCs w:val="20"/>
          <w:lang w:eastAsia="pl-PL"/>
        </w:rPr>
        <w:t>kszenie awaryjności.</w:t>
      </w:r>
      <w:r w:rsidRPr="00B32CB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</w:t>
      </w:r>
    </w:p>
    <w:p w:rsidR="00BD11CE" w:rsidRDefault="00BD11CE" w:rsidP="00956745">
      <w:pPr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BD11CE" w:rsidRPr="00B32CBF" w:rsidRDefault="00BD11CE" w:rsidP="00956745">
      <w:pPr>
        <w:spacing w:after="120" w:line="240" w:lineRule="auto"/>
        <w:rPr>
          <w:rFonts w:ascii="Titillium" w:eastAsia="Times New Roman" w:hAnsi="Titillium" w:cs="Calibri"/>
          <w:color w:val="000000"/>
          <w:sz w:val="20"/>
          <w:szCs w:val="20"/>
          <w:lang w:eastAsia="pl-PL"/>
        </w:rPr>
      </w:pPr>
      <w:r>
        <w:rPr>
          <w:rFonts w:ascii="Titillium" w:eastAsia="Times New Roman" w:hAnsi="Titillium" w:cs="Calibri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785620" cy="975405"/>
            <wp:effectExtent l="0" t="0" r="5080" b="0"/>
            <wp:docPr id="2" name="Obraz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74" cy="99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11CE" w:rsidRPr="00B32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02E"/>
    <w:multiLevelType w:val="hybridMultilevel"/>
    <w:tmpl w:val="DEB8BC94"/>
    <w:lvl w:ilvl="0" w:tplc="93F82A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2007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0176"/>
    <w:multiLevelType w:val="hybridMultilevel"/>
    <w:tmpl w:val="6C2E8B20"/>
    <w:lvl w:ilvl="0" w:tplc="F66C4C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5"/>
    <w:rsid w:val="00245E5B"/>
    <w:rsid w:val="007D4126"/>
    <w:rsid w:val="00956745"/>
    <w:rsid w:val="00B32CBF"/>
    <w:rsid w:val="00BD11CE"/>
    <w:rsid w:val="00F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F9D3"/>
  <w15:chartTrackingRefBased/>
  <w15:docId w15:val="{AF0613BD-9772-40B2-BE60-A928607B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56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7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isclaimerdate">
    <w:name w:val="disclaimer__date"/>
    <w:basedOn w:val="Domylnaczcionkaakapitu"/>
    <w:rsid w:val="00956745"/>
  </w:style>
  <w:style w:type="character" w:styleId="Uwydatnienie">
    <w:name w:val="Emphasis"/>
    <w:basedOn w:val="Domylnaczcionkaakapitu"/>
    <w:uiPriority w:val="20"/>
    <w:qFormat/>
    <w:rsid w:val="00956745"/>
    <w:rPr>
      <w:i/>
      <w:iCs/>
    </w:rPr>
  </w:style>
  <w:style w:type="character" w:styleId="Pogrubienie">
    <w:name w:val="Strong"/>
    <w:basedOn w:val="Domylnaczcionkaakapitu"/>
    <w:uiPriority w:val="22"/>
    <w:qFormat/>
    <w:rsid w:val="009567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674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502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tauron-dystrybucja.pl/bezpieczna-energia/bezpieczniki/wlacz-dla-przyrody/boci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to-kr.pl/" TargetMode="External"/><Relationship Id="rId5" Type="http://schemas.openxmlformats.org/officeDocument/2006/relationships/hyperlink" Target="mailto:bocian@tauron-dystrybucj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Kotapka Agata (TD CEN)</dc:creator>
  <cp:keywords/>
  <dc:description/>
  <cp:lastModifiedBy>Kotapka Agata (TD CEN)</cp:lastModifiedBy>
  <cp:revision>2</cp:revision>
  <dcterms:created xsi:type="dcterms:W3CDTF">2022-02-03T10:59:00Z</dcterms:created>
  <dcterms:modified xsi:type="dcterms:W3CDTF">2022-02-03T13:18:00Z</dcterms:modified>
</cp:coreProperties>
</file>