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Załącznik nr 1</w:t>
      </w:r>
    </w:p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</w:p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(miejscowość, data)</w:t>
      </w:r>
    </w:p>
    <w:p>
      <w:pPr>
        <w:pStyle w:val="Normal"/>
        <w:ind w:left="4111" w:hanging="354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shd w:val="clear" w:color="auto" w:fill="FFFFFF"/>
        <w:spacing w:lineRule="auto" w:line="2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Oferta cenowa dotycząca</w:t>
      </w:r>
    </w:p>
    <w:p>
      <w:pPr>
        <w:pStyle w:val="Normal"/>
        <w:spacing w:lineRule="auto" w:line="276"/>
        <w:ind w:firstLine="708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zapytania ofertowego na zakup i </w:t>
      </w:r>
      <w:r>
        <w:rPr>
          <w:rStyle w:val="Domylnaczcionkaakapitu1"/>
          <w:rFonts w:ascii="Times New Roman" w:hAnsi="Times New Roman"/>
          <w:b/>
          <w:sz w:val="28"/>
          <w:szCs w:val="28"/>
        </w:rPr>
        <w:t xml:space="preserve">dostawę </w:t>
      </w:r>
      <w:r>
        <w:rPr>
          <w:rFonts w:ascii="Times New Roman" w:hAnsi="Times New Roman"/>
          <w:b/>
          <w:sz w:val="28"/>
          <w:szCs w:val="28"/>
        </w:rPr>
        <w:t>pomocy dydaktycznych dla Szkoły Podstawowej w Januszowej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Przystępując do udziału w postępowaniu o udzielenie zamówienia w ramach zapytania ofertowego na zakup i </w:t>
      </w:r>
      <w:r>
        <w:rPr>
          <w:rStyle w:val="Domylnaczcionkaakapitu1"/>
          <w:rFonts w:ascii="Times New Roman" w:hAnsi="Times New Roman"/>
          <w:sz w:val="28"/>
          <w:szCs w:val="28"/>
        </w:rPr>
        <w:t xml:space="preserve">dostawę </w:t>
      </w:r>
      <w:r>
        <w:rPr>
          <w:rFonts w:ascii="Times New Roman" w:hAnsi="Times New Roman"/>
          <w:sz w:val="28"/>
          <w:szCs w:val="28"/>
        </w:rPr>
        <w:t xml:space="preserve">pomocy dydaktycznych </w:t>
      </w:r>
      <w:r>
        <w:rPr/>
        <w:t xml:space="preserve">do przedmiotów: </w:t>
      </w:r>
      <w:r>
        <w:rPr>
          <w:b/>
        </w:rPr>
        <w:t>biologii, chemii, fizyki, geografii</w:t>
      </w:r>
      <w:r>
        <w:rPr/>
        <w:t xml:space="preserve"> </w:t>
      </w:r>
    </w:p>
    <w:p>
      <w:pPr>
        <w:pStyle w:val="Normal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składam niniejszą ofertę:</w:t>
      </w:r>
    </w:p>
    <w:p>
      <w:pPr>
        <w:pStyle w:val="Normal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ind w:left="4111" w:hanging="3544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Dane Wykonawcy</w:t>
      </w:r>
    </w:p>
    <w:p>
      <w:pPr>
        <w:pStyle w:val="Normal"/>
        <w:ind w:left="4111" w:hanging="3544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102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8"/>
        <w:gridCol w:w="723"/>
        <w:gridCol w:w="1260"/>
        <w:gridCol w:w="710"/>
        <w:gridCol w:w="2581"/>
      </w:tblGrid>
      <w:tr>
        <w:trPr>
          <w:trHeight w:val="624" w:hRule="atLeast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Nazwa:</w:t>
            </w:r>
          </w:p>
          <w:p>
            <w:pPr>
              <w:pStyle w:val="Normal"/>
              <w:spacing w:lineRule="auto" w:line="2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Adres pocztowy (ulica, lokalu): </w:t>
            </w:r>
          </w:p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4" w:hRule="atLeast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NIP: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REGON:</w:t>
            </w:r>
          </w:p>
        </w:tc>
      </w:tr>
      <w:tr>
        <w:trPr>
          <w:trHeight w:val="624" w:hRule="atLeast"/>
        </w:trPr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Miejscowość: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Kod pocztowy:</w:t>
            </w:r>
          </w:p>
        </w:tc>
      </w:tr>
      <w:tr>
        <w:trPr>
          <w:trHeight w:val="624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e-mail: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Faks:</w:t>
            </w:r>
          </w:p>
        </w:tc>
      </w:tr>
      <w:tr>
        <w:trPr>
          <w:trHeight w:val="624" w:hRule="atLeast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Osoba/-y do kontaktu:</w:t>
            </w:r>
          </w:p>
        </w:tc>
      </w:tr>
      <w:tr>
        <w:trPr>
          <w:trHeight w:val="624" w:hRule="atLeast"/>
        </w:trPr>
        <w:tc>
          <w:tcPr>
            <w:tcW w:w="9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Adres do korespondencji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(wypełnić, gdy inny niż dane powyżej)</w:t>
            </w:r>
          </w:p>
          <w:p>
            <w:pPr>
              <w:pStyle w:val="Normal"/>
              <w:spacing w:lineRule="auto" w:line="2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Geografia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175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2"/>
        <w:gridCol w:w="1937"/>
        <w:gridCol w:w="4069"/>
        <w:gridCol w:w="850"/>
        <w:gridCol w:w="851"/>
        <w:gridCol w:w="845"/>
      </w:tblGrid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both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pomocy dydaktycznych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Opis parametrów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jednostkowa brutto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ny1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Cena brutto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sz w:val="20"/>
                <w:szCs w:val="20"/>
              </w:rPr>
              <w:t>(w zł) danej pozycji łącznie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Próbki gleb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 próbek gleb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Każda próbka umieszczona jest w szklanym, przezroczystym, zamykanym słoju (wysokości 5,5 cm i średnicy 3 cm).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Próbki gleb to: gleba rdzawa, lateryt, czarna ziemia, czerwonoziem i ryżowa.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Każda z nich występuje w postaci próbki pobranej z poziomu gleby A, B i C.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Dołączony spis gleb w języku polskim.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Wymiary całej pomocy dydaktycznej:  27,0 x 20,5 x 4,7 (H) cm.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Skały i minerały</w:t>
            </w:r>
          </w:p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Zestaw  50 próbek (ok. 2,5 x 2,5cm) z takich grup jak: skały osadowe, magmowe i metamorficzne, rudy, kamienie szlachetne oraz okazy wg skali twardości.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Ścienna plansza przedstawiająca zjawiska atmosferyczne.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Format:</w:t>
              <w:br/>
              <w:t>70 x 100 cm</w:t>
              <w:br/>
              <w:br/>
            </w:r>
            <w:r>
              <w:rPr>
                <w:b/>
                <w:bCs/>
                <w:sz w:val="20"/>
                <w:szCs w:val="20"/>
              </w:rPr>
              <w:t>Oprawa:</w:t>
            </w:r>
            <w:r>
              <w:rPr>
                <w:sz w:val="20"/>
                <w:szCs w:val="20"/>
              </w:rPr>
              <w:br/>
              <w:t>- foliowanie dwustronne</w:t>
              <w:br/>
              <w:t>- metalowe listwy z zawieszeniem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17" w:hang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Powstawanie zrębów, uskoków – model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Kolorowy model – pomoc dydaktyczna – do prezentacji procesu powstawania uskoków (normalnego, odwróconego i przesuw czego) oraz jak tworzą się zrąb tektoniczny i rów tektoniczny.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Model składa się z 5 części ułożonych na dopasowanej drewnianej podstawie z rantem zabezpieczającym zsuwaniu się modeli.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Modele są przestrzenne (można je oglądać z 4 stron i z góry) i wykonane są z kolorowego tworzywa sztucznego. Przedstawiają krajobraz 3-wymiarowo z widocznymi w przekroju podłużnym warstwami skalnymi – na każdym modelu widać od 4 do 5 warstw skalnych rozróżnionych wyraźnie kolorami.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Największy model przedstawia krajobraz z uskokami (4 różne układy warstw skalnych) oraz widocznym zrębem i rowem tektonicznym. Cztery pozostałe modele tworzą kolejny krajobraz do samodzielnej demonstracji różnych rodzajów uskoków, tworzenia się zrębów i rowów tektonicznych.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Wymiary całej pomocy dydaktycznej: 47 x 25,5 x 15 cm.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napToGrid w:val="false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317" w:hang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Atlas geograficzny dla szkoły podstawowej </w:t>
            </w:r>
          </w:p>
          <w:p>
            <w:pPr>
              <w:pStyle w:val="Normal"/>
              <w:rPr>
                <w:rFonts w:ascii="Calibri" w:hAnsi="Calibri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100" w:leader="none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Atlas geograficzny Polska, kontynenty, świat dla uczniów klas 5-8 stanowi kompletny zbiór aktualnych map fizycznych, politycznych, regionalnych oraz tematycznych świata i Polski, niezbędnych w nauce geografii w szkole podstawowej.</w:t>
            </w:r>
          </w:p>
          <w:tbl>
            <w:tblPr>
              <w:tblW w:w="223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1220"/>
              <w:gridCol w:w="1009"/>
            </w:tblGrid>
            <w:tr>
              <w:trPr/>
              <w:tc>
                <w:tcPr>
                  <w:tcW w:w="122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Rok wydania</w:t>
                  </w:r>
                </w:p>
              </w:tc>
              <w:tc>
                <w:tcPr>
                  <w:tcW w:w="100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</w:tr>
            <w:tr>
              <w:trPr/>
              <w:tc>
                <w:tcPr>
                  <w:tcW w:w="122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Format</w:t>
                  </w:r>
                </w:p>
              </w:tc>
              <w:tc>
                <w:tcPr>
                  <w:tcW w:w="100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Papierowy</w:t>
                  </w:r>
                </w:p>
              </w:tc>
            </w:tr>
          </w:tbl>
          <w:p>
            <w:pPr>
              <w:pStyle w:val="Normal"/>
              <w:spacing w:beforeAutospacing="1" w:after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Liczba stron: 192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Autospacing="1" w:after="0"/>
              <w:rPr/>
            </w:pPr>
            <w:r>
              <w:rPr>
                <w:sz w:val="20"/>
                <w:szCs w:val="20"/>
              </w:rPr>
              <w:t xml:space="preserve">Producent: </w:t>
            </w:r>
            <w:hyperlink r:id="rId2">
              <w:r>
                <w:rPr>
                  <w:rStyle w:val="ListLabel44"/>
                  <w:color w:val="000000"/>
                  <w:sz w:val="20"/>
                  <w:szCs w:val="20"/>
                </w:rPr>
                <w:t>Nowa Era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Wulkan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Model do eksperymentu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0"/>
                <w:szCs w:val="20"/>
                <w:lang w:eastAsia="en-US"/>
              </w:rPr>
              <w:t>Zawartość: dwie połówki wulkanu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podstawa (śr. 33 cm)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przepis na lawę - instrukcja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Kompasy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Kompas  zamykany azymut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Kompas zamykany z igłą zawieszoną w płynie i przyrządami celowniczymi. Duża średnica &gt; 5 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Preparaty do mikroskopowania</w:t>
            </w:r>
          </w:p>
          <w:p>
            <w:pPr>
              <w:pStyle w:val="Normal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Zestaw 10 preparatów mikroskopowych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Skład:</w:t>
              <w:br/>
              <w:t>10 preparatów mikroskopowych</w:t>
              <w:br/>
              <w:t>1. Mucha (Musca domestica) - odnóże</w:t>
              <w:br/>
              <w:t>2. Skrzydło ptaka, fragm.</w:t>
              <w:br/>
              <w:t>3. Skrzydło motyla</w:t>
              <w:br/>
              <w:t>4. Rozmaz krwi ludzkiej</w:t>
              <w:br/>
              <w:t>5. Królik - p.pp. jelita</w:t>
              <w:br/>
              <w:t>6. Kot - p.pp. przez płuca</w:t>
              <w:br/>
              <w:t>7. Plankton roślinny i zwierzęcy</w:t>
              <w:br/>
              <w:t>8. Ziarna pyłku - porównanie różnych</w:t>
              <w:br/>
              <w:t>9. Użyłkowanie liścia macerującego</w:t>
              <w:br/>
              <w:t>10. Bez czarny - p.pp. przez zalążnię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Gnomon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Pakiet klasowy pięciu gnomonów z matrycami do nanoszenia obserwacji (do powielania).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Gnomony mają estetyczne, drewniane podstawy, nie są zakończone ostro, lecz oble.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Rzucają ostry, wyraźny cień.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Pakowane w poręczne, zamykane pudełko z naciętymi gąbkami. 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Wysokość przyrządów: ok. 21 cm.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ind w:left="720" w:hanging="36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Biologia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Style w:val="Tabela-Siatka"/>
        <w:tblW w:w="9777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1831"/>
        <w:gridCol w:w="4182"/>
        <w:gridCol w:w="949"/>
        <w:gridCol w:w="1328"/>
        <w:gridCol w:w="843"/>
      </w:tblGrid>
      <w:tr>
        <w:trPr/>
        <w:tc>
          <w:tcPr>
            <w:tcW w:w="6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ind w:left="360" w:hanging="0"/>
              <w:jc w:val="center"/>
              <w:rPr>
                <w:rFonts w:cs="Calibri" w:cstheme="minorHAnsi"/>
                <w:b/>
                <w:b/>
                <w:b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color w:val="000000" w:themeColor="text1"/>
              </w:rPr>
            </w:r>
          </w:p>
        </w:tc>
        <w:tc>
          <w:tcPr>
            <w:tcW w:w="1831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color w:val="000000" w:themeColor="text1"/>
              </w:rPr>
              <w:t>Nazwa</w:t>
            </w:r>
          </w:p>
        </w:tc>
        <w:tc>
          <w:tcPr>
            <w:tcW w:w="4182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color w:val="000000" w:themeColor="text1"/>
              </w:rPr>
              <w:t>Opis/Parametry</w:t>
            </w:r>
          </w:p>
        </w:tc>
        <w:tc>
          <w:tcPr>
            <w:tcW w:w="949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bCs/>
                <w:color w:val="000000" w:themeColor="text1"/>
              </w:rPr>
            </w:pPr>
            <w:r>
              <w:rPr>
                <w:rFonts w:cs="Calibri" w:cstheme="minorHAnsi"/>
                <w:b/>
                <w:bCs/>
                <w:color w:val="000000" w:themeColor="text1"/>
              </w:rPr>
              <w:t>Ilość</w:t>
            </w:r>
          </w:p>
        </w:tc>
        <w:tc>
          <w:tcPr>
            <w:tcW w:w="1328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jednostkowa brutto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843" w:type="dxa"/>
            <w:tcBorders/>
            <w:shd w:color="auto" w:fill="B4C6E7" w:themeFill="accent1" w:themeFillTint="66" w:val="clear"/>
            <w:vAlign w:val="center"/>
          </w:tcPr>
          <w:p>
            <w:pPr>
              <w:pStyle w:val="Normalny1"/>
              <w:snapToGrid w:val="false"/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Cena brutto </w:t>
            </w:r>
          </w:p>
          <w:p>
            <w:pPr>
              <w:pStyle w:val="Normal"/>
              <w:spacing w:before="0" w:after="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sz w:val="20"/>
                <w:szCs w:val="20"/>
              </w:rPr>
              <w:t>(w zł) danej pozycji łącznie</w:t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Mikroskop</w:t>
            </w:r>
            <w:r>
              <w:rPr>
                <w:rFonts w:cs="Calibri" w:cstheme="minorHAnsi"/>
                <w:color w:val="010101"/>
              </w:rPr>
              <w:t xml:space="preserve"> Levenhuk DTX 500 LCD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Mikroskop cyfrowy z wbudowanym kolorowym wyświetlaczem LCD </w:t>
            </w:r>
            <w:r>
              <w:rPr>
                <w:rFonts w:cs="Calibri" w:cstheme="minorHAnsi"/>
                <w:color w:val="272727"/>
              </w:rPr>
              <w:t>3,5”</w:t>
            </w:r>
          </w:p>
          <w:p>
            <w:pPr>
              <w:pStyle w:val="Normal"/>
              <w:spacing w:lineRule="atLeast" w:line="255" w:beforeAutospacing="1" w:afterAutospacing="1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b/>
                <w:bCs/>
                <w:color w:val="272727"/>
              </w:rPr>
              <w:t>Cechy: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Kolorowy wyświetlacz LCD 3,5"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Obsługa kart microSD o pojemności do 32 GB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 xml:space="preserve">Powiększenie obrazu od 20x do 500x 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Możliwość połączenia z komputerem PC za pomocą złącza USB 2.0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Wyjście AV do podłączenia do telewizora lub projektora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Robienie zdjęć i nagrywanie filmów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Automatyczna konfiguracja ekspozycji i balansu bieli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8 wbudowanych diod LED w kolorze białym z możliwością płynnej regulacji jasności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Powiększenie cyfrowe 4x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Akumulator litowo-jonowy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Pomiar wielkości liniowych, powierzchni, kątów i promieni badanych próbek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Kompatybilność z systemami Windows XP/Vista/7/8/10, Mac.6–10.10</w:t>
            </w:r>
          </w:p>
          <w:p>
            <w:pPr>
              <w:pStyle w:val="Normal"/>
              <w:spacing w:before="0" w:after="0"/>
              <w:ind w:left="360" w:hanging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b/>
                <w:bCs/>
                <w:color w:val="272727"/>
              </w:rPr>
              <w:t>Zawartość zestawu: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Mikroskop Levenhuk DTX 500 LCD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Adapter*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Akumulator litowo-jonowy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Kabel USB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Kabel AV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Ściereczka do czyszczenia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Skala kalibracyjna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Oprogramowanie do przetwarzania obrazu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Instrukcja obsługi i karta gwarancyjna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 w:themeColor="text1"/>
              </w:rPr>
              <w:t>Mikroskop Biolux Bino Led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b/>
                <w:bCs/>
                <w:color w:val="272727"/>
              </w:rPr>
              <w:t xml:space="preserve">Głowica: </w:t>
            </w:r>
            <w:r>
              <w:rPr>
                <w:rFonts w:cs="Calibri" w:cstheme="minorHAnsi"/>
                <w:color w:val="272727"/>
              </w:rPr>
              <w:t>binokular, regulowany rozstaw źrenic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 xml:space="preserve">Okular: </w:t>
            </w:r>
            <w:r>
              <w:rPr>
                <w:rFonts w:cs="Calibri" w:cstheme="minorHAnsi"/>
                <w:color w:val="272727"/>
              </w:rPr>
              <w:t>WF10x/18mm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 xml:space="preserve">Obiektyw: </w:t>
            </w:r>
            <w:r>
              <w:rPr>
                <w:rFonts w:cs="Calibri" w:cstheme="minorHAnsi"/>
                <w:color w:val="272727"/>
              </w:rPr>
              <w:t>klasy achromat 4x, 10x, 40x(S)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>Rewolwer:</w:t>
            </w:r>
            <w:r>
              <w:rPr>
                <w:rFonts w:cs="Calibri" w:cstheme="minorHAnsi"/>
                <w:color w:val="272727"/>
              </w:rPr>
              <w:t xml:space="preserve"> trójgniazdowy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 xml:space="preserve">Powiększenie: </w:t>
            </w:r>
            <w:r>
              <w:rPr>
                <w:rFonts w:cs="Calibri" w:cstheme="minorHAnsi"/>
                <w:color w:val="272727"/>
              </w:rPr>
              <w:t>40x - 400x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>Stolik:</w:t>
            </w:r>
            <w:r>
              <w:rPr>
                <w:rFonts w:cs="Calibri" w:cstheme="minorHAnsi"/>
                <w:color w:val="272727"/>
              </w:rPr>
              <w:t xml:space="preserve"> płaski przedmiotowy z nasadką XY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 xml:space="preserve">Kondensor: </w:t>
            </w:r>
            <w:r>
              <w:rPr>
                <w:rFonts w:cs="Calibri" w:cstheme="minorHAnsi"/>
                <w:color w:val="272727"/>
              </w:rPr>
              <w:t>obrotowa diafragma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>System ogniskowania:</w:t>
            </w:r>
            <w:r>
              <w:rPr>
                <w:rFonts w:cs="Calibri" w:cstheme="minorHAnsi"/>
                <w:color w:val="272727"/>
              </w:rPr>
              <w:t xml:space="preserve"> ergonomiczna obustronna współosiowa śruba makro/mikro, podziałka: 0.002mm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>Źródło światła:</w:t>
            </w:r>
            <w:r>
              <w:rPr>
                <w:rFonts w:cs="Calibri" w:cstheme="minorHAnsi"/>
                <w:color w:val="272727"/>
              </w:rPr>
              <w:t xml:space="preserve"> górne i dolne oświetlenie LED 1W z płynną regulacją natężenia oświetlenia, zasilacz sieciowy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 xml:space="preserve">Opakowanie: </w:t>
            </w:r>
            <w:r>
              <w:rPr>
                <w:rFonts w:cs="Calibri" w:cstheme="minorHAnsi"/>
                <w:color w:val="272727"/>
              </w:rPr>
              <w:t>kuferek</w:t>
              <w:br/>
            </w:r>
            <w:r>
              <w:rPr>
                <w:rFonts w:cs="Calibri" w:cstheme="minorHAnsi"/>
                <w:b/>
                <w:bCs/>
                <w:color w:val="272727"/>
              </w:rPr>
              <w:t>W zestawie:</w:t>
            </w:r>
            <w:r>
              <w:rPr>
                <w:rFonts w:cs="Calibri" w:cstheme="minorHAnsi"/>
                <w:color w:val="272727"/>
              </w:rPr>
              <w:t xml:space="preserve"> przykładowe preparaty, pokrowiec, odczynniki, zestaw narzędzi preparacyjnych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 w:themeColor="text1"/>
              </w:rPr>
              <w:t>Mikroskop – lupa stereoskopowa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b/>
                <w:color w:val="272727"/>
              </w:rPr>
              <w:t>Dane techniczne:</w:t>
            </w:r>
            <w:r>
              <w:rPr>
                <w:rFonts w:cs="Calibri" w:cstheme="minorHAnsi"/>
                <w:color w:val="272727"/>
              </w:rPr>
              <w:br/>
              <w:t>* powiększenie 20x – 40x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 xml:space="preserve">* korpus z tworzywa sztucznego </w:t>
              <w:br/>
              <w:t>* wysokiej jakości szkło optyczne</w:t>
              <w:br/>
              <w:t>* oświetlenie górne zasilane bateriami</w:t>
              <w:br/>
              <w:t>* regulowane światło zimne</w:t>
              <w:br/>
              <w:t>* duże, poręczne pokrętła</w:t>
              <w:br/>
              <w:t>* tubus nachylony pod kątem 45°</w:t>
              <w:br/>
              <w:t>* pole widzenia okularu 10x/18mm</w:t>
              <w:br/>
              <w:t>* obiektyw 2x</w:t>
              <w:br/>
              <w:t>* źródło zasilania: baterie lub akumulatorki typu AA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Lupa ręczna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Ręczna Lupa z podświetleniem LEDowym – światło białe i ultrafioletowe, średnica 90 mm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 w:themeColor="text1"/>
              </w:rPr>
              <w:t>Szkielet człowieka na statywie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Szkielet wykonany z tworzywa sztucznego o naturalnych wymiarach – 170 cm, umieszczony na metalowym statywie na kółkach.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 w:themeColor="text1"/>
              </w:rPr>
              <w:t>Biologia plansze interakt. szkoła podstawowa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Style w:val="Strong"/>
                <w:rFonts w:cs="Calibri" w:cstheme="minorHAnsi"/>
                <w:b w:val="false"/>
                <w:color w:val="272727"/>
              </w:rPr>
              <w:t>Plansze obejmujące 37 tematów,</w:t>
            </w:r>
            <w:r>
              <w:rPr>
                <w:rFonts w:cs="Calibri" w:cstheme="minorHAnsi"/>
                <w:color w:val="272727"/>
              </w:rPr>
              <w:t xml:space="preserve"> zawierające ponad </w:t>
            </w:r>
            <w:r>
              <w:rPr>
                <w:rStyle w:val="Strong"/>
                <w:rFonts w:cs="Calibri" w:cstheme="minorHAnsi"/>
                <w:b w:val="false"/>
                <w:color w:val="272727"/>
              </w:rPr>
              <w:t>850 zdjęć i ilustracji</w:t>
            </w:r>
            <w:r>
              <w:rPr>
                <w:rFonts w:cs="Calibri" w:cstheme="minorHAnsi"/>
                <w:b/>
                <w:color w:val="272727"/>
              </w:rPr>
              <w:t>,</w:t>
            </w:r>
            <w:r>
              <w:rPr>
                <w:rFonts w:cs="Calibri" w:cstheme="minorHAnsi"/>
                <w:color w:val="272727"/>
              </w:rPr>
              <w:t xml:space="preserve"> w tym galerie zdjęć z nagraniami głosów ptaków, a także liczne nagrania audio oraz </w:t>
            </w:r>
            <w:r>
              <w:rPr>
                <w:rStyle w:val="Strong"/>
                <w:rFonts w:cs="Calibri" w:cstheme="minorHAnsi"/>
                <w:b w:val="false"/>
                <w:color w:val="272727"/>
              </w:rPr>
              <w:t>ponad 30 filmów</w:t>
            </w:r>
            <w:r>
              <w:rPr>
                <w:rFonts w:cs="Calibri" w:cstheme="minorHAnsi"/>
                <w:b/>
                <w:color w:val="272727"/>
              </w:rPr>
              <w:t>,</w:t>
            </w:r>
            <w:r>
              <w:rPr>
                <w:rFonts w:cs="Calibri" w:cstheme="minorHAnsi"/>
                <w:color w:val="272727"/>
              </w:rPr>
              <w:t xml:space="preserve"> m.in. dotyczących zachowań zwierząt czy funkcjonowania organizmu człowieka. 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Zestaw preparatów bezkręgowce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Zestaw preparatów trwałych  25szt. Np.</w:t>
            </w:r>
          </w:p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1. Organizm jednokomórkowy</w:t>
              <w:br/>
              <w:t>2. Pantofelek</w:t>
              <w:br/>
              <w:t>3. Stułbia (Hydra)</w:t>
              <w:br/>
              <w:t>4. Stułbia, gameta męska</w:t>
              <w:br/>
              <w:t>5. Stułbia, gameta żeńska</w:t>
              <w:br/>
              <w:t>6. Wirki (Turbellaria), wybarwione jelito</w:t>
              <w:br/>
              <w:t>7. Glista (Ascaris), samiec</w:t>
              <w:br/>
              <w:t>8. Glista (Ascaris), samica</w:t>
              <w:br/>
              <w:t>9. Mitoza komórek glisty końskiej</w:t>
              <w:br/>
              <w:t>10. Skrzele małża</w:t>
              <w:br/>
              <w:t>11. Rozwielitka (Daphnia)</w:t>
              <w:br/>
              <w:t>12. Komar, samica</w:t>
              <w:br/>
              <w:t>13. Komar, aparat gębowy samicy</w:t>
              <w:br/>
              <w:t>14. Komar, aparat gębowy samca</w:t>
              <w:br/>
              <w:t>15. Motyl, aparat gębowy</w:t>
              <w:br/>
              <w:t>16. Pszczoła miodna, aparat gębowy</w:t>
              <w:br/>
              <w:t>17. Szarańcza wędrowna (Locusta Migratoria), jądro, p.pp.</w:t>
              <w:br/>
              <w:t>18. Oko złożone owada, przekrój</w:t>
              <w:br/>
              <w:t>19. Mucha domowa</w:t>
              <w:br/>
              <w:t>20. Muszka owocowa (Drosophila)</w:t>
              <w:br/>
              <w:t>21. Odnóże grzebne owada</w:t>
              <w:br/>
              <w:t>22. Odnóże kroczne owada</w:t>
              <w:br/>
              <w:t>23. Odnóże pływne owada</w:t>
              <w:br/>
              <w:t>24. Odnóże skoczne owada</w:t>
              <w:br/>
              <w:t>25. Odnóże z koszyczkiem z pyłkiem</w:t>
              <w:br/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Zestaw preparatów Budowa człowieka 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Autospacing="1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Zestaw preparatów trwałych  25szt. Np.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Gruczoły potowe i mieszki włosowe skóry (pacha)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Mieszki włosowe i gruczoły łojowe skóry głowy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Paznokieć, p.pp. łożyska paznokcia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Ślinianka przyuszna, gruczoł surowiczy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Ślinianka podjęzykowa, różne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Przełyk i tchawica, p.pp.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Ściana żołądka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Jelito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Wyrostek robaczkowy, p.pp.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Wątroba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Wątroba, beleczki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Pęcherzyk żółciowy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Trzustka – pęcherzyki wydzielnicze, wyspy Langerhansa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Płuco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Aorta, p.pp. /wybarw. tkanek, eozyna i in./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Żyła i tętnica /tkanki sprężyste wybarwione/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Nerka, przekrój przez warstwe korową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Moczowód, p.pp.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Pęcherz moczowy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Jajowód, przekrój przez bańkę j.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Jądro (testis), p.pp.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Plemniki, rozmaz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Gruczoł krokowy (prostata)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Szpik kostny z powstającymi krwinkami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left" w:pos="720" w:leader="none"/>
              </w:tabs>
              <w:spacing w:lineRule="atLeast" w:line="255" w:before="0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Tarczyca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Zestaw preparatów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Zestaw preparatów trwałych  25szt. Np.</w:t>
            </w:r>
          </w:p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1. Nabłonek płaski płaza</w:t>
              <w:br/>
              <w:t>2. Nabłonek płaski wielowarstwowy</w:t>
              <w:br/>
              <w:t>3. Nabłonek sześcienny</w:t>
              <w:br/>
              <w:t>4. Nabłonek jednowarstwowy walcowaty</w:t>
              <w:br/>
              <w:t>5. Nabłonek dwurzędowy migawkowy walcowaty</w:t>
              <w:br/>
              <w:t>6. Nabłonek migawkowy</w:t>
              <w:br/>
              <w:t>7. Nabłonek przejściowy</w:t>
              <w:br/>
              <w:t>8. Tkanka włóknista (ogon szczura)</w:t>
              <w:br/>
              <w:t>9. Tkanka siateczkowa</w:t>
              <w:br/>
              <w:t>10. Tkanka tłuszczowa</w:t>
              <w:br/>
              <w:t>11. Chrząstka szklista</w:t>
              <w:br/>
              <w:t>12. Chrząstka sprężysta</w:t>
              <w:br/>
              <w:t>13. Chrząstka włóknista</w:t>
              <w:br/>
              <w:t>14. Kość człowieka</w:t>
              <w:br/>
              <w:t>15. Rozwój kości – chrząstka stawu palca płodu</w:t>
              <w:br/>
              <w:t>16. Krew (ryba)</w:t>
              <w:br/>
              <w:t>17. Krew (ptak)</w:t>
              <w:br/>
              <w:t>18. Krew (ludzka)</w:t>
              <w:br/>
              <w:t>19. Mięsień prążkowany (włókna, jądra)</w:t>
              <w:br/>
              <w:t>20. Mięsień gładki nie podlegający woli</w:t>
              <w:br/>
              <w:t>21. Mięsień serca (poprz. prążk.)</w:t>
              <w:br/>
              <w:t>22. Mięsień i ścięgno – przekrój</w:t>
              <w:br/>
              <w:t>23. Komórki nerwu (przekrój rdzenia kręgowego),</w:t>
              <w:br/>
              <w:t>24. Nerw, różne przekroje</w:t>
              <w:br/>
              <w:t>25. Zakończenia nerwu ruchowego mięśni międzyżebrowych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Zestaw preparatów anatomia zoologia i botanika 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Autospacing="1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Zestaw 100 sztuk trwałych, wybarwionych preparatów np: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Trzy typy bakterii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Pędzlak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Kropidlak żółty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Grzyb pleśniowy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Promieniowiec promienisty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Zawłotnia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Okrzemki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Kroton stellato pilosa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Skrętnica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Koniunkcja skrętnicy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Lichenrons Ox,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Liść Paproci,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Przedrośla paproci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Jaśmin nogokwiatowy </w:t>
              <w:br/>
              <w:t xml:space="preserve">Moczarka łodyga, </w:t>
              <w:br/>
              <w:t xml:space="preserve">Moczarka liść,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Igła sosny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Kwiatostan męski sosny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Kwiatostan żeński sosny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Stożek wzrostu korzenia kukurydzy,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Młody korzeń bobu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kukurydzy,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dyni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słonecznika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Plemnia mchu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Rodnia mchu </w:t>
              <w:br/>
              <w:t xml:space="preserve">Splątek mchu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lipy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lipy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Łodyga pelargonii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Liść wyki dwulistnej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Kiełkujący pyłek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Pyłek kwiatowy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Owoc pomidora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Korzeń nadziemny storczyka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Mitoza w komórkach stożka wzrostu cebuli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Ziarno kukurydzy z bielmem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Plazmodesma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Zalążnia lili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Pylnik lili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Lilia liść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Tasznik stary zarodek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Tasznik młody zarodek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Skórka czosnku </w:t>
              <w:br/>
              <w:t xml:space="preserve">Euglena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Pantofelek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Stułbia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Stułbia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Wypławek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Przywra krwi / samiec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Przywra krwi / samica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Jajo glisty ludzkiej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dżdżownica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Skóra węża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Rozwielitka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Wrotek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Aparat gębowy komarzycy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Aparat gębowy pszczoły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Odnóże pszczoły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Aparat gębowy motyla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Aparat gębowy muchy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Aparat gębowy konika polnego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Mrówka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Łuska ryby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Wypławek </w:t>
              <w:br/>
              <w:t>Tchawica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Skrzela mięczaka jadalnego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Wymaz krwi człowieka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Wymaz krwi ryby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Nabłonek rzęskowy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Nabłonek prosty płaski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Nabłonek warstwowy prosty płaski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Mitoza w komórkach jajowych glisty końskiej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Jelito cienkie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Istota zbita kości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Ścięgno psa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Luźna tknanka łączna,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Mięsień szkieletowy LS,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Mięsień sercowy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Rdzeń kręgowy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Neuron ruchowy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Mięsień gładki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Płuca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Żołądek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Wątroba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Węzeł chłonny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Ukrwione płuco szczura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Ukrwiona nerka szczura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Nerka szczura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Jądo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Jajnik kota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Wymaz płaskonabłonkowy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DNA RNA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Gruczoł trzustki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Jajo żaby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Chromosom ludzki (męski)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Chromosom ludzki (żeński)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Szkiełka nakrywkowe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100 sztuk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Szkiełka podstawowe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pacing w:lineRule="atLeast" w:line="255" w:beforeAutospacing="1" w:after="0"/>
              <w:rPr>
                <w:rFonts w:cs="Calibri" w:cstheme="minorHAnsi"/>
                <w:color w:val="272727"/>
              </w:rPr>
            </w:pPr>
            <w:r>
              <w:rPr>
                <w:rFonts w:cs="Calibri" w:cstheme="minorHAnsi"/>
                <w:color w:val="272727"/>
              </w:rPr>
              <w:t>50 sztuk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Narzędzia preparacyjne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Komplet narzędzi ze stali nierdzewnej: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*szpatułki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skalpel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igły preparacyjne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nożyczki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bagietki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pipety Pasteura</w:t>
            </w:r>
          </w:p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* pincety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Model DNA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Model struktury podwójnej helisy do samodzielnego składania, wykonany z tworzywa sztucznego, poszczególne elementy budowy wykonane w różnych kolorach, w zestawie podstawka,  model składający się minimum z 12 par zasad, o wielkości nie mniejszej niż: 24 x 11 cm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Model oka 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Model ludzkiego oka wykonany z barwnego tworzywa sztucznego o wymiarach minimum 20x20x20, składający się z minimum 6 części, które można wyjąć: ciało szkliste, rogówka, soczewka, tęczówka, twardówka, model umieszczony na podstawie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1699" w:hRule="atLeast"/>
        </w:trPr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Model budowy serca człowieka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uto" w:line="240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Model powiększony, wykonany z barwnego tworzywa sztucznego, umieszczony na podstawie, składający się z minimum 2 części, które można wyjmować tak, aby zobaczyć wewnętrzną i zewnętrzną budowę serca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  <w:highlight w:val="yellow"/>
              </w:rPr>
            </w:pPr>
            <w:r>
              <w:rPr>
                <w:rFonts w:cs="Calibri" w:cstheme="minorHAnsi"/>
                <w:color w:val="000000" w:themeColor="text1"/>
              </w:rPr>
              <w:t>Model tułowia - torsu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Model o wysokości około 80 cm, umieszczony na podstawie, wykonany z tworzywa sztucznego (PCV), składający się z minimum 19 wyjmowanych części - elementy składowe:</w:t>
              <w:br/>
              <w:t>głowa (np. 2 części)</w:t>
              <w:br/>
              <w:t>mózg</w:t>
              <w:br/>
              <w:t>wyjmowany krąg z części piersiowej</w:t>
              <w:br/>
              <w:t>płuca ( np. 4 części)</w:t>
              <w:br/>
              <w:t>serce</w:t>
              <w:br/>
              <w:t>tchawica</w:t>
              <w:br/>
              <w:t>przepona</w:t>
              <w:br/>
              <w:t>przełyk z aortą</w:t>
              <w:br/>
              <w:t>żołądek</w:t>
              <w:br/>
              <w:t>dwunastnica z trzustką i śledzioną</w:t>
              <w:br/>
              <w:t>jelita</w:t>
              <w:br/>
              <w:t>nerka</w:t>
              <w:br/>
              <w:t>wątroba + pęcherzyk żółciowy (2 części)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Anatomia człowieka plansze interaktywne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Zestaw plansz interaktywnych zawierających informacje na temat budowy i funkcjonowania wszystkich układów.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Plansze interaktywne – komórka, bakterie, wirusy, grzyby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Zestaw plansz interaktywnych zawierających informacje na temat budowy i funkcjonowania wszystkich komórek, bakterii, wirusów oraz grzybów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Filmy edukacyjne z zakresu ekologii i ochrony środowiska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Zestaw filmów edukacyjnych dotyczących zagadnień związanych z zanieczyszczeniem oraz ochroną środowiska, funkcjonowaniem różnych ekosystemów np.  ekosystemu łąki, lasu 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77" w:hRule="atLeast"/>
        </w:trPr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Zestaw odczynników biologicznych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Zestaw odczynników umożliwiających przeprowadzenie prostych analiz np. składu pożywienia, elementy zestawu: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Glukoza (spożywcza)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Jodyna cz.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Kwas askorbinowy cz.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 xml:space="preserve">Sudan III (r-r alkohol. 1%) 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Odczynnik Fehlinga I</w:t>
            </w:r>
          </w:p>
          <w:p>
            <w:pPr>
              <w:pStyle w:val="NormalWeb"/>
              <w:spacing w:lineRule="atLeast" w:line="255" w:beforeAutospacing="0" w:before="0" w:afterAutospacing="0" w:after="0"/>
              <w:rPr>
                <w:rFonts w:ascii="Calibri" w:hAnsi="Calibri" w:cs="Calibri" w:asciiTheme="minorHAnsi" w:cstheme="minorHAnsi" w:hAnsiTheme="minorHAnsi"/>
                <w:color w:val="272727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272727"/>
                <w:sz w:val="22"/>
                <w:szCs w:val="22"/>
              </w:rPr>
              <w:t>Odczynnik Fehlinga II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76" w:hRule="atLeast"/>
        </w:trPr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Model ucha</w:t>
            </w:r>
          </w:p>
        </w:tc>
        <w:tc>
          <w:tcPr>
            <w:tcW w:w="4182" w:type="dxa"/>
            <w:vMerge w:val="restart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Powiększony minimum 3- krotnie model ucha wykonany z tworzywa sztucznego,  umieszczony na podstawie, pokazujący budowę wewnętrzną ucha i jej najważniejsze elementy</w:t>
            </w:r>
          </w:p>
        </w:tc>
        <w:tc>
          <w:tcPr>
            <w:tcW w:w="94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</w:tr>
      <w:tr>
        <w:trPr>
          <w:trHeight w:val="1083" w:hRule="atLeast"/>
        </w:trPr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4182" w:type="dxa"/>
            <w:vMerge w:val="continue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9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Higrometr elektroniczny z termometrem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Web"/>
              <w:spacing w:lineRule="atLeast" w:line="255" w:before="280" w:after="0"/>
              <w:rPr>
                <w:rFonts w:ascii="Calibri" w:hAnsi="Calibri" w:cs="Calibri" w:asciiTheme="minorHAnsi" w:cs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 w:themeColor="text1"/>
                <w:sz w:val="22"/>
                <w:szCs w:val="22"/>
              </w:rPr>
              <w:t>Urządzenie z wyświetlaczem LCD:   36mm x 17 mm  oraz przewodem i sondą o długości  około 82cm</w:t>
              <w:br/>
              <w:t>Zakres pomiaru wilgotności:   10%RH ~ 99%RH</w:t>
              <w:br/>
              <w:t>Zakres pomiaru temperatury:   -50°C - +70°C</w:t>
              <w:br/>
              <w:t>Dokładność pomiaru temperatury:   +/- 0,1C°</w:t>
              <w:br/>
              <w:t>Dokładność pomiaru wilgotności:  5%</w:t>
              <w:br/>
              <w:t>Zasilanie:   2x bateria LR44 1,5V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</w:tr>
      <w:tr>
        <w:trPr/>
        <w:tc>
          <w:tcPr>
            <w:tcW w:w="64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PHmetr do mierzenia pH gleby</w:t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Dane techniczne: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auto" w:line="240" w:before="0" w:after="0"/>
              <w:ind w:left="345" w:hanging="36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Zakres pomiarowy urządzenia od 3 do 10</w:t>
            </w:r>
          </w:p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auto" w:line="240" w:before="0" w:afterAutospacing="1"/>
              <w:ind w:left="345" w:hanging="36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Wymiary : długość szpikulca 195 mm/ długość całkowita 280 mm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>1</w:t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643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31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right"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4182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jc w:val="right"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Razem</w:t>
            </w:r>
          </w:p>
        </w:tc>
        <w:tc>
          <w:tcPr>
            <w:tcW w:w="94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328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843" w:type="dxa"/>
            <w:tcBorders/>
            <w:shd w:color="auto" w:fill="00B0F0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ind w:left="70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70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Chemia</w:t>
      </w:r>
    </w:p>
    <w:p>
      <w:pPr>
        <w:pStyle w:val="Normal"/>
        <w:ind w:left="708" w:hanging="0"/>
        <w:jc w:val="both"/>
        <w:rPr/>
      </w:pPr>
      <w:r>
        <w:rPr/>
      </w:r>
    </w:p>
    <w:tbl>
      <w:tblPr>
        <w:tblW w:w="9782" w:type="dxa"/>
        <w:jc w:val="lef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52"/>
        <w:gridCol w:w="2125"/>
        <w:gridCol w:w="3969"/>
        <w:gridCol w:w="709"/>
        <w:gridCol w:w="1252"/>
        <w:gridCol w:w="874"/>
      </w:tblGrid>
      <w:tr>
        <w:trPr>
          <w:trHeight w:val="30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lp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Opis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Ilość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jednostkowa brutto</w:t>
            </w:r>
          </w:p>
          <w:p>
            <w:pPr>
              <w:pStyle w:val="Normal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(w zł)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themeFill="accent1" w:themeFillTint="66" w:val="clear"/>
          </w:tcPr>
          <w:p>
            <w:pPr>
              <w:pStyle w:val="Normalny1"/>
              <w:snapToGrid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Cena brutto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sz w:val="20"/>
                <w:szCs w:val="20"/>
              </w:rPr>
              <w:t>(w zł) danej pozycji łącznie</w:t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trike/>
                <w:color w:val="000000" w:themeColor="text1"/>
              </w:rPr>
            </w:pPr>
            <w:r>
              <w:rPr>
                <w:color w:val="000000" w:themeColor="text1"/>
              </w:rPr>
              <w:t xml:space="preserve">Gliceryna cz.d.a.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ml roztworu gliceryny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Bibuła filtracyjna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20 </w:t>
            </w:r>
            <w:r>
              <w:rPr>
                <w:rFonts w:cs="Tahoma"/>
                <w:strike/>
                <w:color w:val="000000" w:themeColor="text1"/>
              </w:rPr>
              <w:t xml:space="preserve"> </w:t>
            </w:r>
            <w:r>
              <w:rPr>
                <w:rFonts w:cs="Tahoma"/>
                <w:color w:val="000000" w:themeColor="text1"/>
              </w:rPr>
              <w:t xml:space="preserve">arkuszy bibuły filtracyjnej średniosączącej, arkusze o wymiarach: 30 na 45 cm 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Papierki paski wskaźnikowe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Uniwersalne papierki wskaźnikowe o zakresie pH 1-14, 100 sztuk w pastikowym opakowaniu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Sączki jakościowe 11cm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Sączki jakościowe o średnicy 11 cm, 100 sztuk w kartonowym opakowaniu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Węglan wapnia bezw. cz.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Nadmanganian potasu cz.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Magnez cz.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wiórki 100g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Woda utleniona 3%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100ml roztworu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Miedzi siarczan cz. (pentahydrat)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Cyna cz.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granulki 50g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Miedź cz.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Drut miedziany 50g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Oranż metylowy wsk.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Roztwór oranżu metylowego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Kroplomierz z pipetką oranż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Kroplomierz o pojemności 30 ml, wykonany z ciemnego szkła wraz a pipetą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Siarka cz.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100g  proszku 99,9%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Zestaw szkła dla szkoły podstawowej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Kolba miarowa z korkiem pojemności 50 ml </w:t>
            </w:r>
            <w:r>
              <w:rPr>
                <w:rFonts w:cs="Arial"/>
                <w:b/>
                <w:color w:val="000000" w:themeColor="text1"/>
              </w:rPr>
              <w:t>3 szt.</w:t>
            </w:r>
            <w:r>
              <w:rPr>
                <w:rFonts w:cs="Arial"/>
                <w:color w:val="000000" w:themeColor="text1"/>
              </w:rPr>
              <w:br/>
              <w:t xml:space="preserve">Kolba miarowa z korkiem pojemności 100 ml </w:t>
            </w:r>
            <w:r>
              <w:rPr>
                <w:rFonts w:cs="Arial"/>
                <w:b/>
                <w:color w:val="000000" w:themeColor="text1"/>
              </w:rPr>
              <w:t>1 szt.</w:t>
              <w:br/>
            </w:r>
            <w:r>
              <w:rPr>
                <w:rFonts w:cs="Arial"/>
                <w:color w:val="000000" w:themeColor="text1"/>
              </w:rPr>
              <w:t xml:space="preserve">Pipeta jedno - miarowa o pojemności 1 lub 2 ml </w:t>
            </w:r>
            <w:r>
              <w:rPr>
                <w:rFonts w:cs="Arial"/>
                <w:b/>
                <w:color w:val="000000" w:themeColor="text1"/>
              </w:rPr>
              <w:t>1 szt.</w:t>
              <w:br/>
            </w:r>
            <w:r>
              <w:rPr>
                <w:rFonts w:cs="Arial"/>
                <w:color w:val="000000" w:themeColor="text1"/>
              </w:rPr>
              <w:t xml:space="preserve">Pipeta jedno - miarowa o pojemności 25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Pipeta jedno - miarowa o pojemności 10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Pipeta wielo - miarowa o pojemności 10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Pipetka - kroplomierz </w:t>
            </w:r>
            <w:r>
              <w:rPr>
                <w:rFonts w:cs="Arial"/>
                <w:b/>
                <w:color w:val="000000" w:themeColor="text1"/>
              </w:rPr>
              <w:t>4 szt.</w:t>
            </w:r>
            <w:r>
              <w:rPr>
                <w:rFonts w:cs="Arial"/>
                <w:color w:val="000000" w:themeColor="text1"/>
              </w:rPr>
              <w:br/>
              <w:t xml:space="preserve">Cylinder kolorymetryczny o pojemności 50 ml </w:t>
            </w:r>
            <w:r>
              <w:rPr>
                <w:rFonts w:cs="Arial"/>
                <w:b/>
                <w:color w:val="000000" w:themeColor="text1"/>
              </w:rPr>
              <w:t>2 szt.</w:t>
              <w:br/>
            </w:r>
            <w:r>
              <w:rPr>
                <w:rFonts w:cs="Arial"/>
                <w:color w:val="000000" w:themeColor="text1"/>
              </w:rPr>
              <w:t xml:space="preserve">Cylinder miarowy z korkiem o pojemności 50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Cylinder miarowy z wylewem o pojemności 50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Kolba Erlenmeyera ze szlifem i korkiem o pojemności 25 ml </w:t>
            </w:r>
            <w:r>
              <w:rPr>
                <w:rFonts w:cs="Arial"/>
                <w:b/>
                <w:color w:val="000000" w:themeColor="text1"/>
              </w:rPr>
              <w:t>5 szt.</w:t>
            </w:r>
            <w:r>
              <w:rPr>
                <w:rFonts w:cs="Arial"/>
                <w:color w:val="000000" w:themeColor="text1"/>
              </w:rPr>
              <w:br/>
              <w:t xml:space="preserve">Kolba Erlenmeyera o  pojemności 50 ml </w:t>
            </w:r>
            <w:r>
              <w:rPr>
                <w:rFonts w:cs="Arial"/>
                <w:b/>
                <w:color w:val="000000" w:themeColor="text1"/>
              </w:rPr>
              <w:t>4 szt.</w:t>
            </w:r>
            <w:r>
              <w:rPr>
                <w:rFonts w:cs="Arial"/>
                <w:color w:val="000000" w:themeColor="text1"/>
              </w:rPr>
              <w:br/>
              <w:t xml:space="preserve">Kolba Erlenmeyera o pojemności 100 ml </w:t>
            </w:r>
            <w:r>
              <w:rPr>
                <w:rFonts w:cs="Arial"/>
                <w:b/>
                <w:color w:val="000000" w:themeColor="text1"/>
              </w:rPr>
              <w:t>3 szt.</w:t>
            </w:r>
            <w:r>
              <w:rPr>
                <w:rFonts w:cs="Arial"/>
                <w:color w:val="000000" w:themeColor="text1"/>
              </w:rPr>
              <w:br/>
              <w:t xml:space="preserve">Kolba płaskodenna ze szlifem o pojemności 50 ml </w:t>
            </w:r>
            <w:r>
              <w:rPr>
                <w:rFonts w:cs="Arial"/>
                <w:b/>
                <w:color w:val="000000" w:themeColor="text1"/>
              </w:rPr>
              <w:t>3 szt.</w:t>
            </w:r>
            <w:r>
              <w:rPr>
                <w:rFonts w:cs="Arial"/>
                <w:color w:val="000000" w:themeColor="text1"/>
              </w:rPr>
              <w:br/>
              <w:t xml:space="preserve">Rozdzielacz (wkraplacz) min. Pojemność 100 </w:t>
            </w:r>
            <w:r>
              <w:rPr>
                <w:rFonts w:cs="Arial"/>
                <w:b/>
                <w:color w:val="000000" w:themeColor="text1"/>
              </w:rPr>
              <w:t>1 szt.</w:t>
              <w:br/>
            </w:r>
            <w:r>
              <w:rPr>
                <w:rFonts w:cs="Arial"/>
                <w:color w:val="000000" w:themeColor="text1"/>
              </w:rPr>
              <w:t xml:space="preserve">Probówka ze szlifem i korkiem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Probówka Ø 12 - 13/125 mm </w:t>
            </w:r>
            <w:r>
              <w:rPr>
                <w:rFonts w:cs="Arial"/>
                <w:b/>
                <w:color w:val="000000" w:themeColor="text1"/>
              </w:rPr>
              <w:t>20 szt.</w:t>
            </w:r>
            <w:r>
              <w:rPr>
                <w:rFonts w:cs="Arial"/>
                <w:color w:val="000000" w:themeColor="text1"/>
              </w:rPr>
              <w:br/>
              <w:t xml:space="preserve">Probówka Ø 15 - 16/150 - 160 mm </w:t>
            </w:r>
            <w:r>
              <w:rPr>
                <w:rFonts w:cs="Arial"/>
                <w:b/>
                <w:color w:val="000000" w:themeColor="text1"/>
              </w:rPr>
              <w:t>20 szt.</w:t>
            </w:r>
            <w:r>
              <w:rPr>
                <w:rFonts w:cs="Arial"/>
                <w:color w:val="000000" w:themeColor="text1"/>
              </w:rPr>
              <w:br/>
              <w:t xml:space="preserve">Probówka bor - krzem Ø 13/125 mm </w:t>
            </w:r>
            <w:r>
              <w:rPr>
                <w:rFonts w:cs="Arial"/>
                <w:b/>
                <w:color w:val="000000" w:themeColor="text1"/>
              </w:rPr>
              <w:t>10 szt.</w:t>
            </w:r>
            <w:r>
              <w:rPr>
                <w:rFonts w:cs="Arial"/>
                <w:color w:val="000000" w:themeColor="text1"/>
              </w:rPr>
              <w:br/>
              <w:t xml:space="preserve">Probówka bor - krzem Ø 16/150 mm </w:t>
            </w:r>
            <w:r>
              <w:rPr>
                <w:rFonts w:cs="Arial"/>
                <w:b/>
                <w:color w:val="000000" w:themeColor="text1"/>
              </w:rPr>
              <w:t>10 szt.</w:t>
            </w:r>
            <w:r>
              <w:rPr>
                <w:rFonts w:cs="Arial"/>
                <w:color w:val="000000" w:themeColor="text1"/>
              </w:rPr>
              <w:br/>
              <w:t xml:space="preserve">Bagietka Ø 5 - 7/150 mm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Bagietka Ø 7/215 mm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Rurki  szklane o różnych średnica L – 250 mm </w:t>
            </w:r>
            <w:r>
              <w:rPr>
                <w:rFonts w:cs="Arial"/>
                <w:b/>
                <w:color w:val="000000" w:themeColor="text1"/>
              </w:rPr>
              <w:t>4 szt.</w:t>
            </w:r>
            <w:r>
              <w:rPr>
                <w:rFonts w:cs="Arial"/>
                <w:color w:val="000000" w:themeColor="text1"/>
              </w:rPr>
              <w:br/>
              <w:t xml:space="preserve">Rurki szklane o  różnych kształtach </w:t>
            </w:r>
            <w:r>
              <w:rPr>
                <w:rFonts w:cs="Arial"/>
                <w:b/>
                <w:color w:val="000000" w:themeColor="text1"/>
              </w:rPr>
              <w:t>7 szt.</w:t>
            </w:r>
            <w:r>
              <w:rPr>
                <w:rFonts w:cs="Arial"/>
                <w:color w:val="000000" w:themeColor="text1"/>
              </w:rPr>
              <w:br/>
              <w:t xml:space="preserve">Rurka osuszająca (do spalania) L – 170 mm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Zlewka szklana o pojemności  10 - 15 mln </w:t>
            </w:r>
            <w:r>
              <w:rPr>
                <w:rFonts w:cs="Arial"/>
                <w:b/>
                <w:color w:val="000000" w:themeColor="text1"/>
              </w:rPr>
              <w:t>7 szt.</w:t>
            </w:r>
            <w:r>
              <w:rPr>
                <w:rFonts w:cs="Arial"/>
                <w:color w:val="000000" w:themeColor="text1"/>
              </w:rPr>
              <w:br/>
              <w:t xml:space="preserve">Zlewka szklana o pojemności  20 - 25 mln </w:t>
            </w:r>
            <w:r>
              <w:rPr>
                <w:rFonts w:cs="Arial"/>
                <w:b/>
                <w:color w:val="000000" w:themeColor="text1"/>
              </w:rPr>
              <w:t>5 szt.</w:t>
            </w:r>
            <w:r>
              <w:rPr>
                <w:rFonts w:cs="Arial"/>
                <w:color w:val="000000" w:themeColor="text1"/>
              </w:rPr>
              <w:br/>
              <w:t xml:space="preserve">Zlewka szklana o pojemności  100 ml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Zlewka PP o pojemności  25 ml </w:t>
            </w:r>
            <w:r>
              <w:rPr>
                <w:rFonts w:cs="Arial"/>
                <w:b/>
                <w:color w:val="000000" w:themeColor="text1"/>
              </w:rPr>
              <w:t>5 szt.</w:t>
            </w:r>
            <w:r>
              <w:rPr>
                <w:rFonts w:cs="Arial"/>
                <w:color w:val="000000" w:themeColor="text1"/>
              </w:rPr>
              <w:br/>
              <w:t xml:space="preserve">Lejek laboratoryjny PP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Lejek laboratoryjny szklany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Tryskawka PP o pojemności 250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Palnik spirytusowy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Statyw wielostanowiskowy do probówek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Uchwyt do probówek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Łącznik do węży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Szczotki do mycia probówek o  różnych wielkościach </w:t>
            </w:r>
            <w:r>
              <w:rPr>
                <w:rFonts w:cs="Arial"/>
                <w:b/>
                <w:color w:val="000000" w:themeColor="text1"/>
              </w:rPr>
              <w:t>3 szt.</w:t>
            </w:r>
            <w:r>
              <w:rPr>
                <w:rFonts w:cs="Arial"/>
                <w:color w:val="000000" w:themeColor="text1"/>
              </w:rPr>
              <w:br/>
              <w:t xml:space="preserve">Wężyki różnych średnic L – 500 mm </w:t>
            </w:r>
            <w:r>
              <w:rPr>
                <w:rFonts w:cs="Arial"/>
                <w:b/>
                <w:color w:val="000000" w:themeColor="text1"/>
              </w:rPr>
              <w:t>3 szt.</w:t>
            </w:r>
            <w:r>
              <w:rPr>
                <w:rFonts w:cs="Arial"/>
                <w:color w:val="000000" w:themeColor="text1"/>
              </w:rPr>
              <w:br/>
              <w:t xml:space="preserve">Korek polietylenowy Ø 7 mm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Korek polietylenowy Ø 12 ml </w:t>
            </w:r>
            <w:r>
              <w:rPr>
                <w:rFonts w:cs="Arial"/>
                <w:b/>
                <w:color w:val="000000" w:themeColor="text1"/>
              </w:rPr>
              <w:t>1 szt.</w:t>
            </w:r>
            <w:r>
              <w:rPr>
                <w:rFonts w:cs="Arial"/>
                <w:color w:val="000000" w:themeColor="text1"/>
              </w:rPr>
              <w:br/>
              <w:t xml:space="preserve">Korek polietylenowy Ø 14 mm </w:t>
            </w:r>
            <w:r>
              <w:rPr>
                <w:rFonts w:cs="Arial"/>
                <w:b/>
                <w:color w:val="000000" w:themeColor="text1"/>
              </w:rPr>
              <w:t>2 szt.</w:t>
            </w:r>
            <w:r>
              <w:rPr>
                <w:rFonts w:cs="Arial"/>
                <w:color w:val="000000" w:themeColor="text1"/>
              </w:rPr>
              <w:br/>
              <w:t xml:space="preserve">Korki gumowe z otworem i bez </w:t>
            </w:r>
            <w:r>
              <w:rPr>
                <w:rFonts w:cs="Arial"/>
                <w:b/>
                <w:color w:val="000000" w:themeColor="text1"/>
              </w:rPr>
              <w:t>5 szt.</w:t>
            </w:r>
            <w:r>
              <w:rPr>
                <w:rFonts w:cs="Arial"/>
                <w:color w:val="000000" w:themeColor="text1"/>
              </w:rPr>
              <w:br/>
              <w:t xml:space="preserve">Szalki Petriego o różnych średnicach </w:t>
            </w:r>
            <w:r>
              <w:rPr>
                <w:rFonts w:cs="Arial"/>
                <w:b/>
                <w:color w:val="000000" w:themeColor="text1"/>
              </w:rPr>
              <w:t>10  szt.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Waga szkolna elektroniczna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Waga elektroniczna z wyświetlaczem LCD dwurzędowym, dokładność 0,1 g, zasilanie bateryjne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Butelka do roztworów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Butelka szklana o pojemności 250 ml z doszlifowanym korkiem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Statyw do probówek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 xml:space="preserve">Wykonany z drutu pokryty tworzywem PE 20 otworów o średnicy 22  mm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Statyw do probówek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Wykonany z drutu pokryty tworzywem PE 20 otworów o średnicy 14 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Taca na sprzęt laboratoryjny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Duża, o wymiarach minimum 30 cm na 20 cm, wykonana z tworzywa sztucznego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Łyżeczka dwustronna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Wykonana ze stali nierdzewnej o długości 160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Łyżeczka dwustronna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Wykonana ze stali nierdzewnej o długości 200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Łyżeczka do spalań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Wykonana ze stali nierdzewnej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Płytka ceramiczna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Płytka z dwunastoma wgłębieniami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Moździerz porcelanowy z tłuczkiem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Wymiary fi góra 125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Chemia plansze interaktywne szkoła podstawowa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Plansze interaktywne przedstawiające najważniejsze doświadczenia chemiczne ujęte w podstawie programowej dla szkoły podstawowej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1596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Statyw laboratoryjny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Stojak o wysokości 510 mm składający się z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podstawy z prętem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łącznika krzyżowego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łapy do kolb</w:t>
            </w:r>
          </w:p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stojaka do lampki spirytusowej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Parownica porcelanowa z wylewem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Wymiary: 70 mm średnicy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Gruszka do pipet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Gruszka z trzema zaworami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Pipeta Pasteura ze skalą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rFonts w:cs="Arial"/>
                <w:color w:val="272727"/>
                <w:sz w:val="18"/>
                <w:szCs w:val="18"/>
                <w:shd w:fill="F7F7F7" w:val="clear"/>
              </w:rPr>
              <w:t>Wykonana z PS</w:t>
            </w:r>
            <w:r>
              <w:rPr>
                <w:color w:val="000000" w:themeColor="text1"/>
              </w:rPr>
              <w:t xml:space="preserve"> 10 sztuk o pojemności  3 ml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Pipeta wielomiarowa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Pipeta z brązowa skalą, o pojemności 25 ml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Lejek laboratoryjny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Szklany lejek o średnicy  75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Duży zestaw modeli kulkowych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Calibri" w:cstheme="minorHAnsi"/>
                <w:color w:val="000000" w:themeColor="text1"/>
              </w:rPr>
            </w:pPr>
            <w:r>
              <w:rPr>
                <w:rFonts w:cs="Calibri" w:cstheme="minorHAnsi"/>
                <w:color w:val="000000" w:themeColor="text1"/>
              </w:rPr>
              <w:t xml:space="preserve">Zestaw do tworzenia modeli budowy związków organicznych i nieorganicznych, zawierający łącznie </w:t>
            </w:r>
            <w:r>
              <w:rPr>
                <w:rFonts w:cs="Calibri" w:cstheme="minorHAnsi"/>
                <w:color w:val="272727"/>
                <w:shd w:fill="F7F7F7" w:val="clear"/>
              </w:rPr>
              <w:t> minimum 245 atomów, w tym modele atomu: węgla (alkany, alkeny, alkiny), siarka, selen, sód, potas, tlen, azot, fosfor, wodór, chrom, magnez, wapń oraz  minimum 150 modeli wiązań kowalencyjnych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3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Szkiełka zegarkowe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Szklane o średnicy 100 mm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Szalki Petriego 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Szklane o średnicy 100 mm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2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Filmy DVD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Tahoma"/>
                <w:color w:val="000000" w:themeColor="text1"/>
              </w:rPr>
            </w:pPr>
            <w:r>
              <w:rPr>
                <w:color w:val="000000" w:themeColor="text1"/>
              </w:rPr>
              <w:t>Filmy przedstawiające najważniejsze doświadczenia chemiczne wykonywane na lekcjach chemii w szkole podstawowej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</w:r>
          </w:p>
        </w:tc>
      </w:tr>
      <w:tr>
        <w:trPr>
          <w:trHeight w:val="300" w:hRule="atLeast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textAlignment w:val="top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right"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jc w:val="right"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shd w:val="clear" w:color="auto" w:fill="FFFFFF"/>
              <w:spacing w:before="0" w:after="100"/>
              <w:textAlignment w:val="top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10065" w:type="dxa"/>
        <w:jc w:val="lef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370"/>
        <w:gridCol w:w="4097"/>
        <w:gridCol w:w="1405"/>
        <w:gridCol w:w="1647"/>
        <w:gridCol w:w="1546"/>
      </w:tblGrid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val="clear"/>
          </w:tcPr>
          <w:p>
            <w:pPr>
              <w:pStyle w:val="Normal"/>
              <w:numPr>
                <w:ilvl w:val="0"/>
                <w:numId w:val="8"/>
              </w:numPr>
              <w:ind w:left="1080" w:hanging="72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Fizyka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  <w:t>szt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val="clea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</w:rPr>
              <w:t>Cena jednostkowa brutto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(w zł)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B4C6E7" w:val="clear"/>
          </w:tcPr>
          <w:p>
            <w:pPr>
              <w:pStyle w:val="Normal"/>
              <w:widowControl w:val="false"/>
              <w:suppressAutoHyphens w:val="true"/>
              <w:spacing w:lineRule="atLeast" w:line="100"/>
              <w:jc w:val="center"/>
              <w:rPr>
                <w:rFonts w:cs="Arial"/>
                <w:color w:val="000000"/>
                <w:kern w:val="2"/>
              </w:rPr>
            </w:pPr>
            <w:r>
              <w:rPr>
                <w:rFonts w:cs="Arial"/>
                <w:color w:val="000000"/>
                <w:kern w:val="2"/>
              </w:rPr>
              <w:t xml:space="preserve">Cena brutto 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</w:rPr>
              <w:t>(w zł) danej pozycji łącznie</w:t>
            </w:r>
          </w:p>
        </w:tc>
      </w:tr>
      <w:tr>
        <w:trPr>
          <w:trHeight w:val="462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1.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Ciepło, Termodynamika i Energia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Bimetal z rękojeścią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Komplet do wyznaczania ciepła właściwego ciał stał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c.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Przyrząd do demonstracji przemiany pracy w energię.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Komplet do wyznaczania rozszerzalności cieplnej ciał.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Koło Maxwella.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 1 szt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454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2.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Optyka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Optyka geometryczna Tarcza Kolbego z podstawą i akcesoriami - komplet do omówienia prawa odbicia światła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Powstawanie obrazów w zwierciadle płaskim – lustro.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Zestaw do doświadczeń z optyki geometrycznej.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Zasilacz bateryjny.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 1 szt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616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3.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Ma</w:t>
            </w:r>
            <w:bookmarkStart w:id="0" w:name="_GoBack"/>
            <w:bookmarkEnd w:id="0"/>
            <w:r>
              <w:rPr>
                <w:rFonts w:cs="Arial"/>
                <w:b/>
                <w:bCs/>
                <w:color w:val="005C97"/>
              </w:rPr>
              <w:t>gnetyzm i Elektromagnetyzm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Zestaw do pokazowych doświadczeń z magnetyzmu (magnesy, podstawa z zatopionymi opiłkami żelaznymi do pokazu linii pola magnetycznego, magnesy różnych rozmiarów i kształtów, podkowiaste i sztabkowe, lewitujące magnesy na podstawie)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Elektryczność - obwody elektryczne - zestaw szkolny (przewody, mierniki cyfrowe, amperomierz, woltomierz, żaróweczki na podstawce)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Wagi i odważniki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Odważniki uniwersalne.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Waga cyfrowa, elektroniczna do 5 kg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Siłomierze – kilka sztuk różnych.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Siłomierz z wagą – kilka sztuk.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Cylindry miarowe – kilka sztuk różnej wielkości.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 1 komplecie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Mechanika, Płyny i Gazy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Sześciany z różnych materiałów o tych samych wielkościach i kształtach do wyznaczanie gęstości.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color w:val="212121"/>
                <w:kern w:val="2"/>
              </w:rPr>
            </w:pPr>
            <w:r>
              <w:rPr>
                <w:rFonts w:cs="Arial"/>
                <w:color w:val="212121"/>
                <w:kern w:val="2"/>
              </w:rPr>
              <w:t>Zasilacz prądu stałego i zmiennego.</w:t>
            </w:r>
          </w:p>
          <w:p>
            <w:pPr>
              <w:pStyle w:val="Normal"/>
              <w:shd w:val="clear" w:color="auto" w:fill="FFFFFF"/>
              <w:rPr>
                <w:rFonts w:cs="Arial"/>
                <w:color w:val="212121"/>
                <w:kern w:val="2"/>
              </w:rPr>
            </w:pPr>
            <w:r>
              <w:rPr>
                <w:rFonts w:cs="Arial"/>
                <w:color w:val="212121"/>
                <w:kern w:val="2"/>
              </w:rPr>
              <w:t>Zasilacz szkolny.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color w:val="212121"/>
                <w:kern w:val="2"/>
              </w:rPr>
            </w:pPr>
            <w:r>
              <w:rPr>
                <w:rFonts w:cs="Arial"/>
                <w:color w:val="212121"/>
                <w:kern w:val="2"/>
              </w:rPr>
              <w:t>Ciśnienie hydrostatyczne - manometr wodny</w:t>
            </w:r>
          </w:p>
          <w:p>
            <w:pPr>
              <w:pStyle w:val="Normal"/>
              <w:shd w:val="clear" w:color="auto" w:fill="FFFFFF"/>
              <w:rPr>
                <w:rFonts w:cs="Arial"/>
                <w:color w:val="212121"/>
                <w:kern w:val="2"/>
              </w:rPr>
            </w:pPr>
            <w:r>
              <w:rPr>
                <w:rFonts w:cs="Arial"/>
                <w:color w:val="212121"/>
                <w:kern w:val="2"/>
              </w:rPr>
              <w:t>Zestaw do prawa Archimedesa.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 1 komplecie.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d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  <w:t>Sprężyny do wyznaczania fali podłużnej i poprzecznej.</w:t>
            </w:r>
          </w:p>
          <w:p>
            <w:pPr>
              <w:pStyle w:val="Normal"/>
              <w:shd w:val="clear" w:color="auto" w:fill="FFFFFF"/>
              <w:rPr>
                <w:rFonts w:cs="Arial"/>
                <w:color w:val="212121"/>
                <w:kern w:val="2"/>
              </w:rPr>
            </w:pPr>
            <w:r>
              <w:rPr>
                <w:rFonts w:cs="Arial"/>
              </w:rPr>
              <w:t>Zestaw do badania ruchu jednostajnego.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Po 1 szt.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8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6.</w:t>
              <w:tab/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Elektrostatyka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jc w:val="center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Duży zestaw do doświadczeń z elektrostatyki (pałeczki szklane i ebonitowe, elektroskopy 2 szt, statywy 2 sztuki, maszyna elektrostatyczna)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1 komplet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  <w:t>Programy multimedialne z fizyki</w:t>
            </w:r>
          </w:p>
          <w:p>
            <w:pPr>
              <w:pStyle w:val="Normal"/>
              <w:shd w:val="clear" w:color="auto" w:fill="FFFFFF"/>
              <w:spacing w:before="0" w:after="10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b/>
                <w:b/>
                <w:bCs/>
                <w:color w:val="005C97"/>
              </w:rPr>
            </w:pPr>
            <w:r>
              <w:rPr>
                <w:rFonts w:eastAsia="Calibri" w:eastAsiaTheme="minorHAnsi"/>
                <w:lang w:eastAsia="en-US"/>
              </w:rPr>
              <w:t>SEKRETY ELEKTRONIKI - 1200 eksperymentów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  <w:b/>
                <w:b/>
                <w:bCs/>
                <w:color w:val="005C97"/>
              </w:rPr>
            </w:pPr>
            <w:r>
              <w:rPr>
                <w:rFonts w:cs="Arial"/>
                <w:b/>
                <w:bCs/>
                <w:color w:val="005C97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b/>
                <w:b/>
                <w:bCs/>
                <w:color w:val="005C97"/>
              </w:rPr>
            </w:pPr>
            <w:r>
              <w:rPr>
                <w:rFonts w:eastAsia="Calibri" w:eastAsiaTheme="minorHAnsi"/>
                <w:lang w:eastAsia="en-US"/>
              </w:rPr>
              <w:t>Didakta Fizyka 1 - Obliczenia wiel fiz GM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b/>
                <w:b/>
                <w:bCs/>
                <w:color w:val="005C97"/>
              </w:rPr>
            </w:pPr>
            <w:r>
              <w:rPr>
                <w:b/>
                <w:bCs/>
                <w:color w:val="005C97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ind w:left="928" w:hanging="3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Didakta Fizyka 2 - symulacja pomiarów GM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0"/>
              <w:contextualSpacing/>
              <w:textAlignment w:val="top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rPr>
          <w:trHeight w:val="340" w:hRule="atLeast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0" w:after="10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right"/>
              <w:rPr>
                <w:rFonts w:cs="Arial"/>
              </w:rPr>
            </w:pPr>
            <w:r>
              <w:rPr>
                <w:rFonts w:cs="Arial"/>
              </w:rPr>
              <w:t>Razem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00B0F0" w:val="clear"/>
          </w:tcPr>
          <w:p>
            <w:pPr>
              <w:pStyle w:val="Normal"/>
              <w:shd w:val="clear" w:color="auto" w:fill="FFFFFF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ind w:left="-426" w:hanging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napToGrid w:val="false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Oświadczam, że jestem w stanie zrealizować zamówienie zgodnie z wymogami określonymi w zapytaniu ofertowym.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140" w:hanging="0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</w:r>
      <w:r>
        <w:rPr>
          <w:rFonts w:ascii="Times New Roman" w:hAnsi="Times New Roman"/>
        </w:rPr>
        <w:tab/>
        <w:t xml:space="preserve">       …………..…..…………………</w:t>
      </w:r>
    </w:p>
    <w:p>
      <w:pPr>
        <w:pStyle w:val="Normal"/>
        <w:ind w:left="414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>(podpis osoby do kontaktu/Wykonawcy)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74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0c72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c70c72"/>
    <w:rPr/>
  </w:style>
  <w:style w:type="character" w:styleId="Czeinternetowe">
    <w:name w:val="Łącze internetowe"/>
    <w:rsid w:val="00026e42"/>
    <w:rPr>
      <w:color w:val="0000FF"/>
      <w:u w:val="single"/>
    </w:rPr>
  </w:style>
  <w:style w:type="character" w:styleId="Strong">
    <w:name w:val="Strong"/>
    <w:uiPriority w:val="22"/>
    <w:qFormat/>
    <w:rsid w:val="00026e42"/>
    <w:rPr>
      <w:b/>
      <w:bCs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Times New Roman" w:cs="Times New Roman"/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rFonts w:cs="Times New Roman"/>
      <w:b/>
    </w:rPr>
  </w:style>
  <w:style w:type="character" w:styleId="ListLabel44">
    <w:name w:val="ListLabel 44"/>
    <w:qFormat/>
    <w:rPr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1" w:customStyle="1">
    <w:name w:val="Normalny1"/>
    <w:qFormat/>
    <w:rsid w:val="00c70c72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Lucida Sans Unicode" w:cs="Tahoma"/>
      <w:color w:val="000000"/>
      <w:kern w:val="2"/>
      <w:sz w:val="24"/>
      <w:szCs w:val="24"/>
      <w:lang w:bidi="en-US" w:val="pl-PL" w:eastAsia="en-US"/>
    </w:rPr>
  </w:style>
  <w:style w:type="paragraph" w:styleId="NormalWeb">
    <w:name w:val="Normal (Web)"/>
    <w:basedOn w:val="Normal"/>
    <w:uiPriority w:val="99"/>
    <w:unhideWhenUsed/>
    <w:qFormat/>
    <w:rsid w:val="00026e42"/>
    <w:pPr>
      <w:spacing w:beforeAutospacing="1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26e42"/>
    <w:pPr>
      <w:spacing w:before="0" w:after="0"/>
      <w:ind w:left="720" w:hanging="0"/>
      <w:contextualSpacing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26e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mag.pl/brands/brand/nowa-er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LibreOffice/6.0.5.2$Windows_x86 LibreOffice_project/54c8cbb85f300ac59db32fe8a675ff7683cd5a16</Application>
  <Pages>25</Pages>
  <Words>3042</Words>
  <Characters>17203</Characters>
  <CharactersWithSpaces>19861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2018-11-26T10:12:00Z</dcterms:created>
  <dc:creator>iwona matyaszek</dc:creator>
  <dc:description/>
  <dc:language>pl-PL</dc:language>
  <cp:lastModifiedBy>Iwona Matyaszek</cp:lastModifiedBy>
  <dcterms:modified xsi:type="dcterms:W3CDTF">2018-11-26T10:12:00Z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